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eastAsia="宋体"/>
          <w:b/>
          <w:bCs/>
          <w:sz w:val="44"/>
          <w:szCs w:val="44"/>
          <w:lang w:eastAsia="zh-CN"/>
        </w:rPr>
      </w:pPr>
    </w:p>
    <w:p>
      <w:pPr>
        <w:widowControl w:val="0"/>
        <w:kinsoku/>
        <w:autoSpaceDE/>
        <w:autoSpaceDN/>
        <w:adjustRightInd/>
        <w:snapToGrid/>
        <w:spacing w:line="560" w:lineRule="exact"/>
        <w:jc w:val="center"/>
        <w:textAlignment w:val="auto"/>
        <w:rPr>
          <w:rFonts w:hint="eastAsia" w:ascii="方正小标宋简体" w:hAnsi="方正小标宋简体" w:eastAsia="方正小标宋简体" w:cs="方正小标宋简体"/>
          <w:snapToGrid/>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snapToGrid/>
          <w:color w:val="000000" w:themeColor="text1"/>
          <w:kern w:val="2"/>
          <w:sz w:val="44"/>
          <w:szCs w:val="44"/>
          <w:lang w:val="en-US" w:eastAsia="zh-CN" w:bidi="ar-SA"/>
          <w14:textFill>
            <w14:solidFill>
              <w14:schemeClr w14:val="tx1"/>
            </w14:solidFill>
          </w14:textFill>
        </w:rPr>
        <w:t>高安市华林山镇人民政府2022年政府信息公开工作年度报告</w:t>
      </w:r>
    </w:p>
    <w:p>
      <w:pPr>
        <w:spacing w:line="316" w:lineRule="auto"/>
        <w:ind w:firstLine="480" w:firstLineChars="200"/>
        <w:jc w:val="both"/>
        <w:rPr>
          <w:rFonts w:hint="eastAsia" w:ascii="宋体" w:hAnsi="宋体" w:eastAsia="宋体" w:cs="宋体"/>
          <w:kern w:val="0"/>
          <w:sz w:val="24"/>
          <w:szCs w:val="24"/>
          <w:lang w:val="en-US" w:eastAsia="zh-CN" w:bidi="ar"/>
        </w:rPr>
      </w:pPr>
    </w:p>
    <w:p>
      <w:pPr>
        <w:widowControl w:val="0"/>
        <w:kinsoku/>
        <w:autoSpaceDE/>
        <w:autoSpaceDN/>
        <w:adjustRightInd/>
        <w:snapToGrid/>
        <w:spacing w:line="560" w:lineRule="exact"/>
        <w:ind w:firstLine="640" w:firstLineChars="200"/>
        <w:jc w:val="both"/>
        <w:textAlignment w:val="auto"/>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根据《中华人民共和国政府</w:t>
      </w:r>
      <w:bookmarkStart w:id="0" w:name="_GoBack"/>
      <w:bookmarkEnd w:id="0"/>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信息公开条例》（以下简称《条例》）、《高安市政府信息公开年度报告制度》要求，由高安市华林山镇人民政府党政办编制2022年度政府信息公开年度报告。全文由总体情况、主动公开政府信息情况、收到和处理政府信息公开申请情况、政府信息公开行政复议行政诉讼情况、存在的主要问题及改进情况、其他需要报告的事项，共6部分组成。本年报中所列数据的统计期限自2022年1月1日起至2022年12月31日止。本报告通过江西省高安市人民政府网（</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fldChar w:fldCharType="begin"/>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instrText xml:space="preserve"> HYPERLINK "http://www.gaoan.gov.cn/" </w:instrTex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fldChar w:fldCharType="separate"/>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http://www.gaoan.gov.cn </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fldChar w:fldCharType="end"/>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）和市档案馆、图书馆政府信息公开公共查阅场所公布。联系电话：0795-5682108。</w:t>
      </w:r>
    </w:p>
    <w:p>
      <w:pPr>
        <w:spacing w:before="100" w:line="514" w:lineRule="exact"/>
        <w:rPr>
          <w:rFonts w:ascii="楷体" w:hAnsi="楷体" w:eastAsia="楷体" w:cs="楷体"/>
          <w:spacing w:val="-10"/>
          <w:sz w:val="31"/>
          <w:szCs w:val="31"/>
        </w:rPr>
      </w:pPr>
      <w:r>
        <w:rPr>
          <w:rFonts w:ascii="黑体" w:hAnsi="黑体" w:eastAsia="黑体" w:cs="黑体"/>
          <w:spacing w:val="7"/>
          <w:position w:val="4"/>
          <w:sz w:val="31"/>
          <w:szCs w:val="31"/>
        </w:rPr>
        <w:t>一、总体情况</w:t>
      </w:r>
    </w:p>
    <w:p>
      <w:pPr>
        <w:widowControl w:val="0"/>
        <w:kinsoku/>
        <w:autoSpaceDE/>
        <w:autoSpaceDN/>
        <w:adjustRightInd/>
        <w:snapToGrid/>
        <w:spacing w:line="560" w:lineRule="exact"/>
        <w:ind w:firstLine="640" w:firstLineChars="200"/>
        <w:jc w:val="both"/>
        <w:textAlignment w:val="auto"/>
        <w:rPr>
          <w:rFonts w:ascii="楷体" w:hAnsi="楷体" w:eastAsia="楷体" w:cs="楷体"/>
          <w:spacing w:val="-10"/>
          <w:sz w:val="31"/>
          <w:szCs w:val="31"/>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2022年华林山镇人民政府坚持以习近平新时代中国特色社会主义思想为指导，深入贯彻党的二十大精神，严格落实《条例》和《国务院办公厅政府信息与政务公开办公室关于印发中华人民共和国政府信息公开工作年度报告格式的通知》（国办公开办函〔2021〕30号）等文件通知要求。同时，紧紧围绕市委、市政府中心工作，结合“阳光政务”，着力推进政务公开标准化、规范化，不断提升政务公开工作质效。</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 一 ) 主动公开</w:t>
      </w:r>
    </w:p>
    <w:p>
      <w:pPr>
        <w:widowControl w:val="0"/>
        <w:kinsoku/>
        <w:autoSpaceDE/>
        <w:autoSpaceDN/>
        <w:adjustRightInd/>
        <w:snapToGrid/>
        <w:spacing w:line="560" w:lineRule="exact"/>
        <w:ind w:firstLine="640" w:firstLineChars="200"/>
        <w:jc w:val="both"/>
        <w:textAlignment w:val="auto"/>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2022年，我镇通过华林山镇人民政府网站公开各类政府信息70条，其中执行公开13条，会议公开4条，政务信息31条，财政信息7条，人事信息2条，以及其他信息13条。主要聚焦财政预决算、重大建设项目、住房保障、乡村振兴、社会救助和社会福利、义务教育、医疗卫生、人事等重点领域政府信息，满足群众期待与需求。</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(二) 依申请公开</w:t>
      </w:r>
    </w:p>
    <w:p>
      <w:pPr>
        <w:widowControl w:val="0"/>
        <w:kinsoku/>
        <w:autoSpaceDE/>
        <w:autoSpaceDN/>
        <w:adjustRightInd/>
        <w:snapToGrid/>
        <w:spacing w:line="560" w:lineRule="exact"/>
        <w:ind w:firstLine="640" w:firstLineChars="200"/>
        <w:jc w:val="both"/>
        <w:textAlignment w:val="auto"/>
        <w:rPr>
          <w:rFonts w:ascii="楷体" w:hAnsi="楷体" w:eastAsia="楷体" w:cs="楷体"/>
          <w:spacing w:val="-6"/>
          <w:sz w:val="31"/>
          <w:szCs w:val="31"/>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2022年度本镇无依申请公开信息。</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 三 ) 政府信息管理</w:t>
      </w:r>
    </w:p>
    <w:p>
      <w:pPr>
        <w:widowControl w:val="0"/>
        <w:kinsoku/>
        <w:autoSpaceDE/>
        <w:autoSpaceDN/>
        <w:adjustRightInd/>
        <w:snapToGrid/>
        <w:spacing w:line="560" w:lineRule="exact"/>
        <w:ind w:firstLine="640" w:firstLineChars="200"/>
        <w:jc w:val="both"/>
        <w:textAlignment w:val="auto"/>
        <w:rPr>
          <w:rFonts w:ascii="楷体" w:hAnsi="楷体" w:eastAsia="楷体" w:cs="楷体"/>
          <w:spacing w:val="-2"/>
          <w:sz w:val="31"/>
          <w:szCs w:val="31"/>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我镇围绕深入贯彻落实《工作要点》，不断强化政府信息公开工作。强化组织领导和机构队伍建设，将政府信息公开工作纳入重要议事日程，与经济社会管理工作紧密结合，同步研究、同步部署、同步推进。主要负责同志主动听取信息公开工作情况汇报，研究解决突出问题，同时明确专人专责。理顺工作关系，减少职能交叉，加强机构人员保障。统筹做好政府信息公开、政策解读、舆情处置、政府公报等工作，并在经费、设备等方面提供必要保障。</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 四 ) 政府信息公开平台建设</w:t>
      </w:r>
    </w:p>
    <w:p>
      <w:pPr>
        <w:widowControl w:val="0"/>
        <w:kinsoku/>
        <w:autoSpaceDE/>
        <w:autoSpaceDN/>
        <w:adjustRightInd/>
        <w:snapToGrid/>
        <w:spacing w:line="560" w:lineRule="exact"/>
        <w:ind w:firstLine="640" w:firstLineChars="200"/>
        <w:jc w:val="both"/>
        <w:textAlignment w:val="auto"/>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2022年我镇依托政府门户网站为第一平台作用，不仅使用信息公示栏、微信公众号、村民微信群等网络方法进行政务公开，今年还创新引入数字乡村信息平台，联合中国电信电视机顶盒，让居民打开电视就能看见政务公开信息。</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 五 ) 监督保障</w:t>
      </w:r>
    </w:p>
    <w:p>
      <w:pPr>
        <w:widowControl w:val="0"/>
        <w:kinsoku/>
        <w:autoSpaceDE/>
        <w:autoSpaceDN/>
        <w:adjustRightInd/>
        <w:snapToGrid/>
        <w:spacing w:line="560" w:lineRule="exact"/>
        <w:ind w:firstLine="640" w:firstLineChars="200"/>
        <w:jc w:val="both"/>
        <w:textAlignment w:val="auto"/>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我镇建立政府信息公开指南和公开目录更新完善机制，年内对本行政机关的公开指南进行复查，内容缺失或更新不及时的，及时完善相关内容。加强信息公开保密审查制度建设，对拟公开的政府信息，要依法依规做好保密审查；涉及其他行政机关的，应与有关行政机关沟通确认，确保公开的政府信息准确一致，避免出现不实信息。建立健全政府信息公开工作考核评议制度，强化问责制度，定期开展社会调查评议，了解社情民意，不断改进信息公开工作。建立政府信息公开举报办理工作制度，强化信息公开工作主管部门的监督职责，对经举报查实的有关问题，要严格依据《条例》规定进行处理。</w:t>
      </w:r>
    </w:p>
    <w:p>
      <w:pPr>
        <w:numPr>
          <w:ilvl w:val="0"/>
          <w:numId w:val="1"/>
        </w:numPr>
        <w:spacing w:before="183" w:line="230" w:lineRule="auto"/>
        <w:rPr>
          <w:rFonts w:ascii="黑体" w:hAnsi="黑体" w:eastAsia="黑体" w:cs="黑体"/>
          <w:spacing w:val="8"/>
          <w:sz w:val="31"/>
          <w:szCs w:val="31"/>
        </w:rPr>
      </w:pPr>
      <w:r>
        <w:rPr>
          <w:rFonts w:ascii="黑体" w:hAnsi="黑体" w:eastAsia="黑体" w:cs="黑体"/>
          <w:spacing w:val="8"/>
          <w:sz w:val="31"/>
          <w:szCs w:val="31"/>
        </w:rPr>
        <w:t>主动公开政府信息情况</w:t>
      </w:r>
    </w:p>
    <w:tbl>
      <w:tblPr>
        <w:tblStyle w:val="7"/>
        <w:tblW w:w="982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61"/>
        <w:gridCol w:w="2451"/>
        <w:gridCol w:w="2451"/>
        <w:gridCol w:w="24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trPr>
        <w:tc>
          <w:tcPr>
            <w:tcW w:w="9824" w:type="dxa"/>
            <w:gridSpan w:val="4"/>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第二十条第 ( 一 ) 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信息内容</w:t>
            </w:r>
          </w:p>
        </w:tc>
        <w:tc>
          <w:tcPr>
            <w:tcW w:w="245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本年制发件数</w:t>
            </w:r>
          </w:p>
        </w:tc>
        <w:tc>
          <w:tcPr>
            <w:tcW w:w="245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本年废止件数</w:t>
            </w:r>
          </w:p>
        </w:tc>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现行有效件数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规   章</w:t>
            </w:r>
          </w:p>
        </w:tc>
        <w:tc>
          <w:tcPr>
            <w:tcW w:w="245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245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行政规范性文件</w:t>
            </w:r>
          </w:p>
        </w:tc>
        <w:tc>
          <w:tcPr>
            <w:tcW w:w="245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245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9824" w:type="dxa"/>
            <w:gridSpan w:val="4"/>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第二十条第 ( 五 ) 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信息内容</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本年处理决定数量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行政许可</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hint="default" w:ascii="Calibri" w:hAnsi="Calibri" w:eastAsia="宋体" w:cs="Times New Roman"/>
                <w:b/>
                <w:bCs/>
                <w:snapToGrid/>
                <w:kern w:val="0"/>
                <w:sz w:val="24"/>
                <w:szCs w:val="24"/>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9824" w:type="dxa"/>
            <w:gridSpan w:val="4"/>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第二十条第 ( 六 ) 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信息内容</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本年处理决定数量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行政处罚</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行政强制</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9824" w:type="dxa"/>
            <w:gridSpan w:val="4"/>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第二十条第 (八) 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4"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信息内容</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b/>
                <w:bCs/>
                <w:snapToGrid/>
                <w:kern w:val="0"/>
                <w:sz w:val="24"/>
                <w:szCs w:val="24"/>
                <w:lang w:val="en-US" w:eastAsia="zh-CN" w:bidi="ar"/>
              </w:rPr>
            </w:pPr>
            <w:r>
              <w:rPr>
                <w:rFonts w:ascii="Calibri" w:hAnsi="Calibri" w:eastAsia="宋体" w:cs="Times New Roman"/>
                <w:b/>
                <w:bCs/>
                <w:snapToGrid/>
                <w:kern w:val="0"/>
                <w:sz w:val="24"/>
                <w:szCs w:val="24"/>
                <w:lang w:val="en-US" w:eastAsia="zh-CN" w:bidi="ar"/>
              </w:rPr>
              <w:t>本年收费金额 (单位：万元)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4" w:hRule="atLeast"/>
        </w:trPr>
        <w:tc>
          <w:tcPr>
            <w:tcW w:w="2461"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hint="eastAsia" w:ascii="Calibri" w:hAnsi="Calibri" w:eastAsia="宋体" w:cs="Times New Roman"/>
                <w:b/>
                <w:bCs/>
                <w:snapToGrid/>
                <w:kern w:val="0"/>
                <w:sz w:val="24"/>
                <w:szCs w:val="24"/>
                <w:lang w:val="en-US" w:eastAsia="zh-CN" w:bidi="ar"/>
              </w:rPr>
            </w:pPr>
            <w:r>
              <w:rPr>
                <w:rFonts w:hint="eastAsia" w:ascii="Calibri" w:hAnsi="Calibri" w:eastAsia="宋体" w:cs="Times New Roman"/>
                <w:b/>
                <w:bCs/>
                <w:snapToGrid/>
                <w:kern w:val="0"/>
                <w:sz w:val="24"/>
                <w:szCs w:val="24"/>
                <w:lang w:val="en-US" w:eastAsia="zh-CN" w:bidi="ar"/>
              </w:rPr>
              <w:t>行政事业性收费</w:t>
            </w:r>
          </w:p>
        </w:tc>
        <w:tc>
          <w:tcPr>
            <w:tcW w:w="7363" w:type="dxa"/>
            <w:gridSpan w:val="3"/>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hint="default" w:ascii="Calibri" w:hAnsi="Calibri" w:eastAsia="宋体" w:cs="Times New Roman"/>
                <w:b/>
                <w:bCs/>
                <w:snapToGrid/>
                <w:kern w:val="0"/>
                <w:sz w:val="24"/>
                <w:szCs w:val="24"/>
                <w:lang w:val="en-US" w:eastAsia="zh-CN" w:bidi="ar"/>
              </w:rPr>
            </w:pPr>
            <w:r>
              <w:rPr>
                <w:rFonts w:hint="eastAsia" w:ascii="宋体" w:hAnsi="宋体" w:eastAsia="宋体" w:cs="宋体"/>
                <w:snapToGrid/>
                <w:color w:val="000000"/>
                <w:kern w:val="0"/>
                <w:sz w:val="32"/>
                <w:szCs w:val="32"/>
                <w:lang w:val="en-US" w:eastAsia="zh-CN" w:bidi="ar"/>
              </w:rPr>
              <w:t>0</w:t>
            </w:r>
          </w:p>
        </w:tc>
      </w:tr>
    </w:tbl>
    <w:p>
      <w:pPr>
        <w:keepNext w:val="0"/>
        <w:keepLines w:val="0"/>
        <w:widowControl/>
        <w:suppressLineNumbers w:val="0"/>
        <w:kinsoku/>
        <w:autoSpaceDE/>
        <w:autoSpaceDN/>
        <w:adjustRightInd/>
        <w:snapToGrid/>
        <w:spacing w:before="100" w:beforeAutospacing="1" w:after="100" w:afterAutospacing="1" w:line="460" w:lineRule="exact"/>
        <w:ind w:left="0" w:leftChars="0" w:right="0" w:firstLine="0" w:firstLineChars="0"/>
        <w:jc w:val="center"/>
        <w:textAlignment w:val="auto"/>
        <w:rPr>
          <w:rFonts w:ascii="Calibri" w:hAnsi="Calibri" w:eastAsia="宋体" w:cs="Times New Roman"/>
          <w:snapToGrid/>
          <w:kern w:val="0"/>
          <w:sz w:val="24"/>
          <w:szCs w:val="24"/>
          <w:lang w:val="en-US" w:eastAsia="zh-CN" w:bidi="ar"/>
        </w:rPr>
      </w:pPr>
    </w:p>
    <w:p>
      <w:pPr>
        <w:sectPr>
          <w:footerReference r:id="rId5" w:type="default"/>
          <w:pgSz w:w="11906" w:h="16839"/>
          <w:pgMar w:top="1417" w:right="1474" w:bottom="1417" w:left="1587" w:header="0" w:footer="1293" w:gutter="0"/>
          <w:cols w:space="0" w:num="1"/>
          <w:rtlGutter w:val="0"/>
          <w:docGrid w:linePitch="0" w:charSpace="0"/>
        </w:sectPr>
      </w:pPr>
    </w:p>
    <w:p>
      <w:pPr>
        <w:spacing w:before="209" w:line="233" w:lineRule="auto"/>
        <w:rPr>
          <w:rFonts w:ascii="黑体" w:hAnsi="黑体" w:eastAsia="黑体" w:cs="黑体"/>
          <w:sz w:val="31"/>
          <w:szCs w:val="31"/>
        </w:rPr>
      </w:pPr>
      <w:r>
        <w:rPr>
          <w:rFonts w:ascii="黑体" w:hAnsi="黑体" w:eastAsia="黑体" w:cs="黑体"/>
          <w:spacing w:val="16"/>
          <w:sz w:val="31"/>
          <w:szCs w:val="31"/>
        </w:rPr>
        <w:t>三</w:t>
      </w:r>
      <w:r>
        <w:rPr>
          <w:rFonts w:ascii="黑体" w:hAnsi="黑体" w:eastAsia="黑体" w:cs="黑体"/>
          <w:spacing w:val="13"/>
          <w:sz w:val="31"/>
          <w:szCs w:val="31"/>
        </w:rPr>
        <w:t>、</w:t>
      </w:r>
      <w:r>
        <w:rPr>
          <w:rFonts w:ascii="黑体" w:hAnsi="黑体" w:eastAsia="黑体" w:cs="黑体"/>
          <w:spacing w:val="8"/>
          <w:sz w:val="31"/>
          <w:szCs w:val="31"/>
        </w:rPr>
        <w:t>收到和处理政府信息公开申请情况</w:t>
      </w:r>
    </w:p>
    <w:tbl>
      <w:tblPr>
        <w:tblStyle w:val="7"/>
        <w:tblW w:w="9752" w:type="dxa"/>
        <w:tblInd w:w="4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88"/>
        <w:gridCol w:w="996"/>
        <w:gridCol w:w="4816"/>
        <w:gridCol w:w="438"/>
        <w:gridCol w:w="472"/>
        <w:gridCol w:w="380"/>
        <w:gridCol w:w="496"/>
        <w:gridCol w:w="437"/>
        <w:gridCol w:w="449"/>
        <w:gridCol w:w="48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4" w:hRule="atLeast"/>
        </w:trPr>
        <w:tc>
          <w:tcPr>
            <w:tcW w:w="6600" w:type="dxa"/>
            <w:gridSpan w:val="3"/>
            <w:vMerge w:val="restart"/>
            <w:tcBorders>
              <w:top w:val="single" w:color="000000" w:sz="2" w:space="0"/>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(本列数据的勾稽关系为：第一项加第二项之 和，等于第三项加第四项之和)</w:t>
            </w:r>
          </w:p>
        </w:tc>
        <w:tc>
          <w:tcPr>
            <w:tcW w:w="3152" w:type="dxa"/>
            <w:gridSpan w:val="7"/>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申请人情况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6600" w:type="dxa"/>
            <w:gridSpan w:val="3"/>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38"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自   然   人</w:t>
            </w:r>
          </w:p>
        </w:tc>
        <w:tc>
          <w:tcPr>
            <w:tcW w:w="2234" w:type="dxa"/>
            <w:gridSpan w:val="5"/>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法人或其他组 织</w:t>
            </w:r>
          </w:p>
        </w:tc>
        <w:tc>
          <w:tcPr>
            <w:tcW w:w="480"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总 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4" w:hRule="atLeast"/>
        </w:trPr>
        <w:tc>
          <w:tcPr>
            <w:tcW w:w="6600" w:type="dxa"/>
            <w:gridSpan w:val="3"/>
            <w:vMerge w:val="continue"/>
            <w:tcBorders>
              <w:top w:val="nil"/>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snapToGrid/>
                <w:kern w:val="2"/>
                <w:sz w:val="24"/>
                <w:szCs w:val="24"/>
                <w:lang w:val="en-US" w:eastAsia="zh-CN" w:bidi="ar-SA"/>
              </w:rPr>
            </w:pPr>
          </w:p>
        </w:tc>
        <w:tc>
          <w:tcPr>
            <w:tcW w:w="438"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snapToGrid/>
                <w:kern w:val="2"/>
                <w:sz w:val="24"/>
                <w:szCs w:val="24"/>
                <w:lang w:val="en-US" w:eastAsia="zh-CN" w:bidi="ar-SA"/>
              </w:rPr>
            </w:pPr>
          </w:p>
        </w:tc>
        <w:tc>
          <w:tcPr>
            <w:tcW w:w="472"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商 业 企 业</w:t>
            </w:r>
          </w:p>
        </w:tc>
        <w:tc>
          <w:tcPr>
            <w:tcW w:w="380"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科 研 机构</w:t>
            </w:r>
          </w:p>
        </w:tc>
        <w:tc>
          <w:tcPr>
            <w:tcW w:w="496"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社 会公 益 组 织</w:t>
            </w:r>
          </w:p>
        </w:tc>
        <w:tc>
          <w:tcPr>
            <w:tcW w:w="437"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法 律 服 务 机构</w:t>
            </w:r>
          </w:p>
        </w:tc>
        <w:tc>
          <w:tcPr>
            <w:tcW w:w="449"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其 他</w:t>
            </w:r>
          </w:p>
        </w:tc>
        <w:tc>
          <w:tcPr>
            <w:tcW w:w="480"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both"/>
              <w:textAlignment w:val="auto"/>
              <w:rPr>
                <w:rFonts w:hint="eastAsia" w:ascii="宋体" w:hAnsi="Calibri" w:eastAsia="宋体" w:cs="Times New Roman"/>
                <w:snapToGrid/>
                <w:kern w:val="2"/>
                <w:sz w:val="24"/>
                <w:szCs w:val="24"/>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6600" w:type="dxa"/>
            <w:gridSpan w:val="3"/>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一、本年新收政府信息公开申请数量</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right="0"/>
              <w:jc w:val="center"/>
              <w:textAlignment w:val="auto"/>
              <w:rPr>
                <w:rFonts w:hint="default"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6600" w:type="dxa"/>
            <w:gridSpan w:val="3"/>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二、上年结转政府信息公开申请数量</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restart"/>
            <w:tcBorders>
              <w:top w:val="single" w:color="000000" w:sz="2" w:space="0"/>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三、 本年 度办 理结 果</w:t>
            </w:r>
          </w:p>
        </w:tc>
        <w:tc>
          <w:tcPr>
            <w:tcW w:w="5812" w:type="dxa"/>
            <w:gridSpan w:val="2"/>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 一 ) 予以公开</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5812" w:type="dxa"/>
            <w:gridSpan w:val="2"/>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(二) 部分公开 ( 区分处理的，只计这一 情形，不计其他情形)</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restart"/>
            <w:tcBorders>
              <w:top w:val="single" w:color="000000" w:sz="2" w:space="0"/>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 三 ) 不予公开</w:t>
            </w: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1.属于国家秘密</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2.其他法律行政法规禁止公开</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3.危及 “三安全一稳定”</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4.保护第三方合法权益</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5.属于三类内部事务信息</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6.属于四类过程性信息</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7.属于行政执法案卷</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8.属于行政查询事项</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restart"/>
            <w:tcBorders>
              <w:top w:val="single" w:color="000000" w:sz="2" w:space="0"/>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 四 ) 无法提供</w:t>
            </w: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1.本机关不掌握相关政府信息</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2"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2.没有现成信息需要另行制作</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3.补正后申请内容仍不明确</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restart"/>
            <w:tcBorders>
              <w:top w:val="single" w:color="000000" w:sz="2" w:space="0"/>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 五 ) 不予处理</w:t>
            </w: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1.信访举报投诉类申请</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2.重复申请</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3.要求提供公开出版物</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88"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4.无正当理由大量反复申请</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1" w:hRule="atLeast"/>
        </w:trPr>
        <w:tc>
          <w:tcPr>
            <w:tcW w:w="788" w:type="dxa"/>
            <w:tcBorders>
              <w:top w:val="nil"/>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996" w:type="dxa"/>
            <w:tcBorders>
              <w:top w:val="nil"/>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tcBorders>
              <w:top w:val="single" w:color="000000" w:sz="2" w:space="0"/>
              <w:bottom w:val="single" w:color="000000" w:sz="2" w:space="0"/>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bidi w:val="0"/>
              <w:jc w:val="center"/>
              <w:rPr>
                <w:rFonts w:hint="eastAsia" w:ascii="Arial" w:hAnsi="Arial" w:eastAsia="Arial" w:cs="Arial"/>
                <w:b/>
                <w:bCs/>
                <w:snapToGrid w:val="0"/>
                <w:color w:val="000000"/>
                <w:kern w:val="0"/>
                <w:sz w:val="21"/>
                <w:szCs w:val="21"/>
                <w:lang w:val="en-US" w:eastAsia="zh-CN"/>
              </w:rPr>
            </w:pPr>
            <w:r>
              <w:rPr>
                <w:rFonts w:hint="eastAsia" w:ascii="宋体" w:hAnsi="Calibri" w:eastAsia="宋体" w:cs="Times New Roman"/>
                <w:b/>
                <w:bCs/>
                <w:snapToGrid/>
                <w:kern w:val="2"/>
                <w:sz w:val="24"/>
                <w:szCs w:val="24"/>
                <w:lang w:val="en-US" w:eastAsia="zh-CN" w:bidi="ar-SA"/>
              </w:rPr>
              <w:t>5.要求行政机关确认或重新出具 已获取信息</w:t>
            </w:r>
          </w:p>
        </w:tc>
        <w:tc>
          <w:tcPr>
            <w:tcW w:w="438"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72"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3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96"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37"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49"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c>
          <w:tcPr>
            <w:tcW w:w="480" w:type="dxa"/>
            <w:tcBorders>
              <w:top w:val="single" w:color="000000" w:sz="2" w:space="0"/>
              <w:bottom w:val="single" w:color="000000" w:sz="2" w:space="0"/>
            </w:tcBorders>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宋体" w:eastAsia="宋体" w:cs="宋体"/>
                <w:snapToGrid/>
                <w:color w:val="000000"/>
                <w:kern w:val="0"/>
                <w:sz w:val="32"/>
                <w:szCs w:val="32"/>
                <w:lang w:val="en-US" w:eastAsia="zh-CN" w:bidi="ar"/>
              </w:rPr>
            </w:pPr>
            <w:r>
              <w:rPr>
                <w:rFonts w:hint="eastAsia" w:ascii="宋体" w:hAnsi="宋体" w:eastAsia="宋体" w:cs="宋体"/>
                <w:snapToGrid/>
                <w:color w:val="000000"/>
                <w:kern w:val="0"/>
                <w:sz w:val="32"/>
                <w:szCs w:val="32"/>
                <w:lang w:val="en-US" w:eastAsia="zh-CN" w:bidi="ar"/>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2" w:hRule="atLeast"/>
        </w:trPr>
        <w:tc>
          <w:tcPr>
            <w:tcW w:w="1784" w:type="dxa"/>
            <w:gridSpan w:val="2"/>
            <w:vMerge w:val="restart"/>
            <w:tcBorders>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 六 )其他处理</w:t>
            </w:r>
          </w:p>
        </w:tc>
        <w:tc>
          <w:tcPr>
            <w:tcW w:w="4816" w:type="dxa"/>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1.申请人无正当理由逾期不补正、 行政机关不再处理其政府信息公 开申请</w:t>
            </w:r>
          </w:p>
        </w:tc>
        <w:tc>
          <w:tcPr>
            <w:tcW w:w="438"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72"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3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96"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37"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49"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1784" w:type="dxa"/>
            <w:gridSpan w:val="2"/>
            <w:vMerge w:val="continue"/>
            <w:tcBorders>
              <w:top w:val="nil"/>
              <w:bottom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2. 申请人逾期未按收费通知要求 缴纳费用、行政机关不再处理其政 府信息公开申请</w:t>
            </w:r>
          </w:p>
        </w:tc>
        <w:tc>
          <w:tcPr>
            <w:tcW w:w="438"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72"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3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96"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37"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49"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1784" w:type="dxa"/>
            <w:gridSpan w:val="2"/>
            <w:vMerge w:val="continue"/>
            <w:tcBorders>
              <w:top w:val="nil"/>
            </w:tcBorders>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p>
        </w:tc>
        <w:tc>
          <w:tcPr>
            <w:tcW w:w="4816" w:type="dxa"/>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3.其他</w:t>
            </w:r>
          </w:p>
        </w:tc>
        <w:tc>
          <w:tcPr>
            <w:tcW w:w="438"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72"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3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96"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37"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49"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trPr>
        <w:tc>
          <w:tcPr>
            <w:tcW w:w="6600" w:type="dxa"/>
            <w:gridSpan w:val="3"/>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 七 ) 总计</w:t>
            </w:r>
          </w:p>
        </w:tc>
        <w:tc>
          <w:tcPr>
            <w:tcW w:w="438"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72"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3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96"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37"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49"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6600" w:type="dxa"/>
            <w:gridSpan w:val="3"/>
            <w:vAlign w:val="top"/>
          </w:tcPr>
          <w:p>
            <w:pPr>
              <w:widowControl w:val="0"/>
              <w:kinsoku/>
              <w:autoSpaceDE/>
              <w:autoSpaceDN/>
              <w:adjustRightInd/>
              <w:snapToGrid/>
              <w:spacing w:line="240" w:lineRule="auto"/>
              <w:jc w:val="both"/>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四、结转下年度继续办理</w:t>
            </w:r>
          </w:p>
        </w:tc>
        <w:tc>
          <w:tcPr>
            <w:tcW w:w="438"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72"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3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96"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37"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49"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c>
          <w:tcPr>
            <w:tcW w:w="480" w:type="dxa"/>
            <w:vAlign w:val="top"/>
          </w:tcPr>
          <w:p>
            <w:pPr>
              <w:keepNext w:val="0"/>
              <w:keepLines w:val="0"/>
              <w:widowControl/>
              <w:suppressLineNumbers w:val="0"/>
              <w:kinsoku/>
              <w:autoSpaceDE/>
              <w:autoSpaceDN/>
              <w:adjustRightInd/>
              <w:snapToGrid/>
              <w:spacing w:before="100" w:beforeAutospacing="1" w:after="180" w:afterAutospacing="0" w:line="400" w:lineRule="exact"/>
              <w:ind w:left="0" w:leftChars="0" w:right="0" w:rightChars="0"/>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宋体" w:eastAsia="宋体" w:cs="宋体"/>
                <w:snapToGrid/>
                <w:color w:val="000000"/>
                <w:kern w:val="0"/>
                <w:sz w:val="32"/>
                <w:szCs w:val="32"/>
                <w:lang w:val="en-US" w:eastAsia="zh-CN" w:bidi="ar"/>
              </w:rPr>
              <w:t>0</w:t>
            </w:r>
          </w:p>
        </w:tc>
      </w:tr>
    </w:tbl>
    <w:p>
      <w:pPr>
        <w:spacing w:before="208" w:line="232" w:lineRule="auto"/>
        <w:rPr>
          <w:rFonts w:ascii="黑体" w:hAnsi="黑体" w:eastAsia="黑体" w:cs="黑体"/>
          <w:sz w:val="31"/>
          <w:szCs w:val="31"/>
        </w:rPr>
      </w:pPr>
      <w:r>
        <w:rPr>
          <w:rFonts w:ascii="黑体" w:hAnsi="黑体" w:eastAsia="黑体" w:cs="黑体"/>
          <w:spacing w:val="13"/>
          <w:sz w:val="31"/>
          <w:szCs w:val="31"/>
        </w:rPr>
        <w:t>四</w:t>
      </w:r>
      <w:r>
        <w:rPr>
          <w:rFonts w:ascii="黑体" w:hAnsi="黑体" w:eastAsia="黑体" w:cs="黑体"/>
          <w:spacing w:val="8"/>
          <w:sz w:val="31"/>
          <w:szCs w:val="31"/>
        </w:rPr>
        <w:t>、政府信息公开行政复议、行政诉讼情况</w:t>
      </w:r>
    </w:p>
    <w:p>
      <w:pPr>
        <w:spacing w:line="24" w:lineRule="auto"/>
        <w:rPr>
          <w:rFonts w:ascii="Arial"/>
          <w:sz w:val="2"/>
        </w:rPr>
      </w:pPr>
    </w:p>
    <w:tbl>
      <w:tblPr>
        <w:tblStyle w:val="7"/>
        <w:tblW w:w="9752"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58"/>
        <w:gridCol w:w="648"/>
        <w:gridCol w:w="648"/>
        <w:gridCol w:w="648"/>
        <w:gridCol w:w="648"/>
        <w:gridCol w:w="648"/>
        <w:gridCol w:w="648"/>
        <w:gridCol w:w="649"/>
        <w:gridCol w:w="649"/>
        <w:gridCol w:w="649"/>
        <w:gridCol w:w="650"/>
        <w:gridCol w:w="650"/>
        <w:gridCol w:w="650"/>
        <w:gridCol w:w="650"/>
        <w:gridCol w:w="6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8" w:hRule="atLeast"/>
        </w:trPr>
        <w:tc>
          <w:tcPr>
            <w:tcW w:w="3250" w:type="dxa"/>
            <w:gridSpan w:val="5"/>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行政复议</w:t>
            </w:r>
          </w:p>
        </w:tc>
        <w:tc>
          <w:tcPr>
            <w:tcW w:w="6502" w:type="dxa"/>
            <w:gridSpan w:val="10"/>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行政诉讼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658"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结 果 维 持</w:t>
            </w:r>
          </w:p>
        </w:tc>
        <w:tc>
          <w:tcPr>
            <w:tcW w:w="648"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结 果 纠  正</w:t>
            </w:r>
          </w:p>
        </w:tc>
        <w:tc>
          <w:tcPr>
            <w:tcW w:w="648"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其 他 结 果</w:t>
            </w:r>
          </w:p>
        </w:tc>
        <w:tc>
          <w:tcPr>
            <w:tcW w:w="648"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尚 未 审 结</w:t>
            </w:r>
          </w:p>
        </w:tc>
        <w:tc>
          <w:tcPr>
            <w:tcW w:w="648" w:type="dxa"/>
            <w:vMerge w:val="restart"/>
            <w:tcBorders>
              <w:top w:val="single" w:color="000000" w:sz="2" w:space="0"/>
              <w:bottom w:val="nil"/>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总 计</w:t>
            </w:r>
          </w:p>
        </w:tc>
        <w:tc>
          <w:tcPr>
            <w:tcW w:w="3243" w:type="dxa"/>
            <w:gridSpan w:val="5"/>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未经复议直接起诉</w:t>
            </w:r>
          </w:p>
        </w:tc>
        <w:tc>
          <w:tcPr>
            <w:tcW w:w="3259" w:type="dxa"/>
            <w:gridSpan w:val="5"/>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复议后起诉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5" w:hRule="atLeast"/>
        </w:trPr>
        <w:tc>
          <w:tcPr>
            <w:tcW w:w="658"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p>
        </w:tc>
        <w:tc>
          <w:tcPr>
            <w:tcW w:w="648"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p>
        </w:tc>
        <w:tc>
          <w:tcPr>
            <w:tcW w:w="648"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p>
        </w:tc>
        <w:tc>
          <w:tcPr>
            <w:tcW w:w="648"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p>
        </w:tc>
        <w:tc>
          <w:tcPr>
            <w:tcW w:w="648" w:type="dxa"/>
            <w:vMerge w:val="continue"/>
            <w:tcBorders>
              <w:top w:val="nil"/>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p>
        </w:tc>
        <w:tc>
          <w:tcPr>
            <w:tcW w:w="648"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结 果 维 持</w:t>
            </w:r>
          </w:p>
        </w:tc>
        <w:tc>
          <w:tcPr>
            <w:tcW w:w="648"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结 果 纠  正</w:t>
            </w:r>
          </w:p>
        </w:tc>
        <w:tc>
          <w:tcPr>
            <w:tcW w:w="649"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其 他 结 果</w:t>
            </w:r>
          </w:p>
        </w:tc>
        <w:tc>
          <w:tcPr>
            <w:tcW w:w="649"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尚 未 审 结</w:t>
            </w:r>
          </w:p>
        </w:tc>
        <w:tc>
          <w:tcPr>
            <w:tcW w:w="649"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总 计</w:t>
            </w:r>
          </w:p>
        </w:tc>
        <w:tc>
          <w:tcPr>
            <w:tcW w:w="650"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结 果 维 持</w:t>
            </w:r>
          </w:p>
        </w:tc>
        <w:tc>
          <w:tcPr>
            <w:tcW w:w="650"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结 果 纠  正</w:t>
            </w:r>
          </w:p>
        </w:tc>
        <w:tc>
          <w:tcPr>
            <w:tcW w:w="650"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其 他 结 果</w:t>
            </w:r>
          </w:p>
        </w:tc>
        <w:tc>
          <w:tcPr>
            <w:tcW w:w="650"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尚 未 审 结</w:t>
            </w:r>
          </w:p>
        </w:tc>
        <w:tc>
          <w:tcPr>
            <w:tcW w:w="659" w:type="dxa"/>
            <w:tcBorders>
              <w:top w:val="single" w:color="000000" w:sz="2" w:space="0"/>
              <w:bottom w:val="single" w:color="000000" w:sz="2" w:space="0"/>
            </w:tcBorders>
            <w:textDirection w:val="tbRlV"/>
            <w:vAlign w:val="top"/>
          </w:tcPr>
          <w:p>
            <w:pPr>
              <w:widowControl w:val="0"/>
              <w:kinsoku/>
              <w:autoSpaceDE/>
              <w:autoSpaceDN/>
              <w:adjustRightInd/>
              <w:snapToGrid/>
              <w:spacing w:line="240" w:lineRule="auto"/>
              <w:jc w:val="center"/>
              <w:textAlignment w:val="auto"/>
              <w:rPr>
                <w:rFonts w:hint="eastAsia"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总 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65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8"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9"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9"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49"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50"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50"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50"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50"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c>
          <w:tcPr>
            <w:tcW w:w="659" w:type="dxa"/>
            <w:tcBorders>
              <w:top w:val="single" w:color="000000" w:sz="2" w:space="0"/>
              <w:bottom w:val="single" w:color="000000" w:sz="2" w:space="0"/>
            </w:tcBorders>
            <w:vAlign w:val="top"/>
          </w:tcPr>
          <w:p>
            <w:pPr>
              <w:widowControl w:val="0"/>
              <w:kinsoku/>
              <w:autoSpaceDE/>
              <w:autoSpaceDN/>
              <w:adjustRightInd/>
              <w:snapToGrid/>
              <w:spacing w:line="240" w:lineRule="auto"/>
              <w:jc w:val="center"/>
              <w:textAlignment w:val="auto"/>
              <w:rPr>
                <w:rFonts w:hint="default" w:ascii="宋体" w:hAnsi="Calibri" w:eastAsia="宋体" w:cs="Times New Roman"/>
                <w:b/>
                <w:bCs/>
                <w:snapToGrid/>
                <w:kern w:val="2"/>
                <w:sz w:val="24"/>
                <w:szCs w:val="24"/>
                <w:lang w:val="en-US" w:eastAsia="zh-CN" w:bidi="ar-SA"/>
              </w:rPr>
            </w:pPr>
            <w:r>
              <w:rPr>
                <w:rFonts w:hint="eastAsia" w:ascii="宋体" w:hAnsi="Calibri" w:eastAsia="宋体" w:cs="Times New Roman"/>
                <w:b/>
                <w:bCs/>
                <w:snapToGrid/>
                <w:kern w:val="2"/>
                <w:sz w:val="24"/>
                <w:szCs w:val="24"/>
                <w:lang w:val="en-US" w:eastAsia="zh-CN" w:bidi="ar-SA"/>
              </w:rPr>
              <w:t>0</w:t>
            </w:r>
          </w:p>
        </w:tc>
      </w:tr>
    </w:tbl>
    <w:p>
      <w:pPr>
        <w:widowControl w:val="0"/>
        <w:kinsoku/>
        <w:autoSpaceDE/>
        <w:autoSpaceDN/>
        <w:adjustRightInd/>
        <w:snapToGrid/>
        <w:spacing w:line="240" w:lineRule="auto"/>
        <w:jc w:val="both"/>
        <w:textAlignment w:val="auto"/>
        <w:rPr>
          <w:rFonts w:hint="eastAsia" w:ascii="宋体" w:hAnsi="Calibri" w:eastAsia="宋体" w:cs="Times New Roman"/>
          <w:snapToGrid/>
          <w:kern w:val="2"/>
          <w:sz w:val="24"/>
          <w:szCs w:val="24"/>
          <w:lang w:val="en-US" w:eastAsia="zh-CN" w:bidi="ar-SA"/>
        </w:rPr>
        <w:sectPr>
          <w:headerReference r:id="rId6" w:type="default"/>
          <w:footerReference r:id="rId7" w:type="default"/>
          <w:pgSz w:w="11906" w:h="16839"/>
          <w:pgMar w:top="2086" w:right="1033" w:bottom="1564" w:left="1033" w:header="1450" w:footer="1287" w:gutter="0"/>
          <w:cols w:space="720" w:num="1"/>
        </w:sectPr>
      </w:pPr>
    </w:p>
    <w:p>
      <w:pPr>
        <w:spacing w:before="101"/>
        <w:rPr>
          <w:rFonts w:ascii="黑体" w:hAnsi="黑体" w:eastAsia="黑体" w:cs="黑体"/>
          <w:sz w:val="31"/>
          <w:szCs w:val="31"/>
        </w:rPr>
      </w:pPr>
      <w:r>
        <w:rPr>
          <w:rFonts w:ascii="黑体" w:hAnsi="黑体" w:eastAsia="黑体" w:cs="黑体"/>
          <w:spacing w:val="13"/>
          <w:sz w:val="31"/>
          <w:szCs w:val="31"/>
        </w:rPr>
        <w:t>五</w:t>
      </w:r>
      <w:r>
        <w:rPr>
          <w:rFonts w:ascii="黑体" w:hAnsi="黑体" w:eastAsia="黑体" w:cs="黑体"/>
          <w:spacing w:val="8"/>
          <w:sz w:val="31"/>
          <w:szCs w:val="31"/>
        </w:rPr>
        <w:t>、存在的主要问题及改进情况</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 一 ) 现存问题</w:t>
      </w:r>
    </w:p>
    <w:p>
      <w:pPr>
        <w:widowControl w:val="0"/>
        <w:kinsoku/>
        <w:autoSpaceDE/>
        <w:autoSpaceDN/>
        <w:adjustRightInd/>
        <w:snapToGrid/>
        <w:spacing w:line="560" w:lineRule="exact"/>
        <w:ind w:firstLine="640" w:firstLineChars="200"/>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2022年，华林山镇政府信息公开工作取得一定成效，但仍存在一些问题，主要表现为：一是主动公开信息时效性有欠缺，对动态性的信息更新的时间掌握不到位；二是信息公开不全面，在</w:t>
      </w:r>
      <w:r>
        <w:rPr>
          <w:rFonts w:hint="eastAsia" w:ascii="仿宋_GB2312" w:hAnsi="仿宋_GB2312" w:eastAsia="仿宋_GB2312" w:cs="仿宋_GB2312"/>
          <w:strike w:val="0"/>
          <w:color w:val="000000"/>
          <w:spacing w:val="0"/>
          <w:w w:val="100"/>
          <w:sz w:val="32"/>
          <w:szCs w:val="32"/>
          <w:vertAlign w:val="baseline"/>
          <w:lang w:val="en-US" w:eastAsia="zh-CN"/>
        </w:rPr>
        <w:t>便民利民等方面存在不足</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；三是公开解读形式单一，以文字解读居多，结合图表、图示较少。</w:t>
      </w:r>
    </w:p>
    <w:p>
      <w:pPr>
        <w:widowControl w:val="0"/>
        <w:kinsoku/>
        <w:autoSpaceDE/>
        <w:autoSpaceDN/>
        <w:adjustRightInd/>
        <w:snapToGrid/>
        <w:spacing w:line="560" w:lineRule="exact"/>
        <w:jc w:val="both"/>
        <w:textAlignment w:val="auto"/>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snapToGrid/>
          <w:color w:val="000000" w:themeColor="text1"/>
          <w:kern w:val="2"/>
          <w:sz w:val="32"/>
          <w:szCs w:val="32"/>
          <w:lang w:val="en-US" w:eastAsia="zh-CN" w:bidi="ar-SA"/>
          <w14:textFill>
            <w14:solidFill>
              <w14:schemeClr w14:val="tx1"/>
            </w14:solidFill>
          </w14:textFill>
        </w:rPr>
        <w:t>( 二 ) 改进措施</w:t>
      </w:r>
    </w:p>
    <w:p>
      <w:pPr>
        <w:widowControl w:val="0"/>
        <w:numPr>
          <w:ilvl w:val="0"/>
          <w:numId w:val="0"/>
        </w:numPr>
        <w:kinsoku/>
        <w:autoSpaceDE/>
        <w:autoSpaceDN/>
        <w:adjustRightInd/>
        <w:snapToGrid/>
        <w:spacing w:line="560" w:lineRule="exact"/>
        <w:ind w:firstLine="640" w:firstLineChars="200"/>
        <w:jc w:val="both"/>
        <w:textAlignment w:val="auto"/>
        <w:rPr>
          <w:rFonts w:ascii="仿宋" w:hAnsi="仿宋" w:eastAsia="仿宋" w:cs="仿宋"/>
          <w:sz w:val="31"/>
          <w:szCs w:val="31"/>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1.加强政策解读。</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对政府出台的重要改革措施和涉及群众切身利益的政策文件，落实政务</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信息</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主体责任，积极回应社会关切。</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2.提升业务水平。强化专人专责</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，提升政府信息公开能力，</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采用群众喜闻乐见的形式，对政策进行</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立体式、多方位解读</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推进我</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镇</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政府信息公开工作有力</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有序</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有效开展。</w:t>
      </w:r>
      <w:r>
        <w:rPr>
          <w:rFonts w:hint="default" w:ascii="仿宋_GB2312" w:hAnsi="微软雅黑" w:eastAsia="仿宋_GB2312" w:cs="仿宋_GB2312"/>
          <w:b/>
          <w:bCs/>
          <w:i w:val="0"/>
          <w:iCs w:val="0"/>
          <w:caps w:val="0"/>
          <w:snapToGrid w:val="0"/>
          <w:color w:val="000000"/>
          <w:spacing w:val="0"/>
          <w:kern w:val="0"/>
          <w:sz w:val="32"/>
          <w:szCs w:val="32"/>
          <w:shd w:val="clear" w:fill="FFFFFF"/>
          <w:lang w:val="en-US" w:eastAsia="zh-CN" w:bidi="ar"/>
        </w:rPr>
        <w:t>　　</w:t>
      </w:r>
    </w:p>
    <w:p>
      <w:pPr>
        <w:spacing w:before="223" w:line="233" w:lineRule="auto"/>
        <w:rPr>
          <w:rFonts w:ascii="黑体" w:hAnsi="黑体" w:eastAsia="黑体" w:cs="黑体"/>
          <w:sz w:val="31"/>
          <w:szCs w:val="31"/>
        </w:rPr>
      </w:pPr>
      <w:r>
        <w:rPr>
          <w:rFonts w:ascii="黑体" w:hAnsi="黑体" w:eastAsia="黑体" w:cs="黑体"/>
          <w:spacing w:val="14"/>
          <w:sz w:val="31"/>
          <w:szCs w:val="31"/>
        </w:rPr>
        <w:t>六</w:t>
      </w:r>
      <w:r>
        <w:rPr>
          <w:rFonts w:ascii="黑体" w:hAnsi="黑体" w:eastAsia="黑体" w:cs="黑体"/>
          <w:spacing w:val="8"/>
          <w:sz w:val="31"/>
          <w:szCs w:val="31"/>
        </w:rPr>
        <w:t>、</w:t>
      </w:r>
      <w:r>
        <w:rPr>
          <w:rFonts w:ascii="黑体" w:hAnsi="黑体" w:eastAsia="黑体" w:cs="黑体"/>
          <w:spacing w:val="7"/>
          <w:sz w:val="31"/>
          <w:szCs w:val="31"/>
        </w:rPr>
        <w:t>其他需要报告的事项</w:t>
      </w:r>
    </w:p>
    <w:p>
      <w:pPr>
        <w:widowControl w:val="0"/>
        <w:kinsoku/>
        <w:autoSpaceDE/>
        <w:autoSpaceDN/>
        <w:adjustRightInd/>
        <w:snapToGrid/>
        <w:spacing w:line="560" w:lineRule="exact"/>
        <w:ind w:firstLine="640" w:firstLineChars="200"/>
        <w:jc w:val="both"/>
        <w:textAlignment w:val="auto"/>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2022年度，我镇无收取信息处理费情况。</w:t>
      </w:r>
    </w:p>
    <w:p/>
    <w:sectPr>
      <w:headerReference r:id="rId8" w:type="default"/>
      <w:footerReference r:id="rId9" w:type="default"/>
      <w:pgSz w:w="11906" w:h="16838"/>
      <w:pgMar w:top="1417" w:right="1474" w:bottom="1417"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60AD3B7-F489-4644-91D0-FAF3B1ECF1A1}"/>
  </w:font>
  <w:font w:name="黑体">
    <w:panose1 w:val="02010609060101010101"/>
    <w:charset w:val="86"/>
    <w:family w:val="auto"/>
    <w:pitch w:val="default"/>
    <w:sig w:usb0="800002BF" w:usb1="38CF7CFA" w:usb2="00000016" w:usb3="00000000" w:csb0="00040001" w:csb1="00000000"/>
    <w:embedRegular r:id="rId2" w:fontKey="{80EC036F-EC1D-4C4D-B86B-E06E91FF959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63E18073-8D1F-41AB-80A8-CF3FC8D572BC}"/>
  </w:font>
  <w:font w:name="方正小标宋简体">
    <w:panose1 w:val="03000509000000000000"/>
    <w:charset w:val="86"/>
    <w:family w:val="script"/>
    <w:pitch w:val="default"/>
    <w:sig w:usb0="00000001" w:usb1="080E0000" w:usb2="00000000" w:usb3="00000000" w:csb0="00040000" w:csb1="00000000"/>
    <w:embedRegular r:id="rId4" w:fontKey="{E7C10B5A-250E-4216-B29B-81A62D746F8D}"/>
  </w:font>
  <w:font w:name="仿宋_GB2312">
    <w:panose1 w:val="02010609030101010101"/>
    <w:charset w:val="86"/>
    <w:family w:val="auto"/>
    <w:pitch w:val="default"/>
    <w:sig w:usb0="00000001" w:usb1="080E0000" w:usb2="00000000" w:usb3="00000000" w:csb0="00040000" w:csb1="00000000"/>
    <w:embedRegular r:id="rId5" w:fontKey="{9D89E04E-C5DE-44F7-B1C7-483E6B65C8C0}"/>
  </w:font>
  <w:font w:name="楷体">
    <w:panose1 w:val="02010609060101010101"/>
    <w:charset w:val="86"/>
    <w:family w:val="auto"/>
    <w:pitch w:val="default"/>
    <w:sig w:usb0="800002BF" w:usb1="38CF7CFA" w:usb2="00000016" w:usb3="00000000" w:csb0="00040001" w:csb1="00000000"/>
    <w:embedRegular r:id="rId6" w:fontKey="{3D3C381A-4B6C-41D4-93CF-31CF1BEC2EB4}"/>
  </w:font>
  <w:font w:name="楷体_GB2312">
    <w:panose1 w:val="02010609030101010101"/>
    <w:charset w:val="86"/>
    <w:family w:val="auto"/>
    <w:pitch w:val="default"/>
    <w:sig w:usb0="00000001" w:usb1="080E0000" w:usb2="00000000" w:usb3="00000000" w:csb0="00040000" w:csb1="00000000"/>
    <w:embedRegular r:id="rId7" w:fontKey="{1058E1D8-0622-48D4-BFD8-E560679A3920}"/>
  </w:font>
  <w:font w:name="仿宋">
    <w:panose1 w:val="02010609060101010101"/>
    <w:charset w:val="86"/>
    <w:family w:val="auto"/>
    <w:pitch w:val="default"/>
    <w:sig w:usb0="800002BF" w:usb1="38CF7CFA" w:usb2="00000016" w:usb3="00000000" w:csb0="00040001" w:csb1="00000000"/>
    <w:embedRegular r:id="rId8" w:fontKey="{41B3FD24-BF91-4CC7-A930-3F69461FB587}"/>
  </w:font>
  <w:font w:name="微软雅黑">
    <w:panose1 w:val="020B0503020204020204"/>
    <w:charset w:val="86"/>
    <w:family w:val="auto"/>
    <w:pitch w:val="default"/>
    <w:sig w:usb0="80000287" w:usb1="280F3C52" w:usb2="00000016" w:usb3="00000000" w:csb0="0004001F" w:csb1="00000000"/>
    <w:embedRegular r:id="rId9" w:fontKey="{43B7A66E-FA73-4C05-9ACA-B53ADFC4B7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0" w:lineRule="auto"/>
      <w:ind w:right="363"/>
      <w:jc w:val="center"/>
      <w:rPr>
        <w:rFonts w:hint="eastAsia" w:ascii="仿宋" w:hAnsi="仿宋" w:eastAsia="仿宋" w:cs="仿宋"/>
        <w:sz w:val="28"/>
        <w:szCs w:val="28"/>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2" w:lineRule="auto"/>
      <w:rPr>
        <w:rFonts w:ascii="仿宋" w:hAnsi="仿宋" w:eastAsia="仿宋" w:cs="仿宋"/>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right="327"/>
      <w:jc w:val="right"/>
      <w:rPr>
        <w:rFonts w:ascii="仿宋" w:hAnsi="仿宋" w:eastAsia="仿宋" w:cs="仿宋"/>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1F92C"/>
    <w:multiLevelType w:val="singleLevel"/>
    <w:tmpl w:val="9F01F92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OTEwMDdkYzhkYzRlZjBiYjQ3YjdkZDhmMmQ5NjMifQ=="/>
  </w:docVars>
  <w:rsids>
    <w:rsidRoot w:val="381F460E"/>
    <w:rsid w:val="000976E8"/>
    <w:rsid w:val="007D6A53"/>
    <w:rsid w:val="00D95387"/>
    <w:rsid w:val="037273DA"/>
    <w:rsid w:val="06234D82"/>
    <w:rsid w:val="096F502C"/>
    <w:rsid w:val="0F4568DD"/>
    <w:rsid w:val="15655E05"/>
    <w:rsid w:val="16AD180E"/>
    <w:rsid w:val="17B62B1E"/>
    <w:rsid w:val="1891452D"/>
    <w:rsid w:val="19501A46"/>
    <w:rsid w:val="1DA10708"/>
    <w:rsid w:val="23C96950"/>
    <w:rsid w:val="269553AE"/>
    <w:rsid w:val="27414014"/>
    <w:rsid w:val="27BF23DC"/>
    <w:rsid w:val="282D5012"/>
    <w:rsid w:val="284133BD"/>
    <w:rsid w:val="28D466C6"/>
    <w:rsid w:val="2AF754D0"/>
    <w:rsid w:val="2E283EF2"/>
    <w:rsid w:val="2F824F9B"/>
    <w:rsid w:val="315F1BAC"/>
    <w:rsid w:val="316B1CB8"/>
    <w:rsid w:val="32A23326"/>
    <w:rsid w:val="3527199E"/>
    <w:rsid w:val="381F460E"/>
    <w:rsid w:val="38206A3D"/>
    <w:rsid w:val="391D5F56"/>
    <w:rsid w:val="3A4C170B"/>
    <w:rsid w:val="3BB8732B"/>
    <w:rsid w:val="3F7A7A9C"/>
    <w:rsid w:val="45375398"/>
    <w:rsid w:val="457479F1"/>
    <w:rsid w:val="47B1448E"/>
    <w:rsid w:val="49CC5D18"/>
    <w:rsid w:val="4E760ECF"/>
    <w:rsid w:val="52F201A7"/>
    <w:rsid w:val="5385247B"/>
    <w:rsid w:val="5484225E"/>
    <w:rsid w:val="55611AFF"/>
    <w:rsid w:val="55E36CF9"/>
    <w:rsid w:val="57A3478F"/>
    <w:rsid w:val="5C5974E0"/>
    <w:rsid w:val="5E981895"/>
    <w:rsid w:val="5FFF6EB1"/>
    <w:rsid w:val="62330A20"/>
    <w:rsid w:val="649734B0"/>
    <w:rsid w:val="66300E23"/>
    <w:rsid w:val="6A053E02"/>
    <w:rsid w:val="6C603B5E"/>
    <w:rsid w:val="6D2F2428"/>
    <w:rsid w:val="732B2F34"/>
    <w:rsid w:val="73F6620B"/>
    <w:rsid w:val="741E5EF4"/>
    <w:rsid w:val="74792AC4"/>
    <w:rsid w:val="754F1BDE"/>
    <w:rsid w:val="761338CF"/>
    <w:rsid w:val="76792279"/>
    <w:rsid w:val="78B77608"/>
    <w:rsid w:val="7F742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6">
    <w:name w:val="Hyperlink"/>
    <w:basedOn w:val="5"/>
    <w:autoRedefine/>
    <w:qFormat/>
    <w:uiPriority w:val="0"/>
    <w:rPr>
      <w:color w:val="0000FF"/>
      <w:u w:val="single"/>
    </w:rPr>
  </w:style>
  <w:style w:type="table" w:customStyle="1" w:styleId="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2408</Words>
  <Characters>2500</Characters>
  <Lines>0</Lines>
  <Paragraphs>0</Paragraphs>
  <TotalTime>7</TotalTime>
  <ScaleCrop>false</ScaleCrop>
  <LinksUpToDate>false</LinksUpToDate>
  <CharactersWithSpaces>2637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2023-01-05T08:18:00Z</dcterms:created>
  <dc:creator>Administrator</dc:creator>
  <cp:lastModifiedBy>微信用户</cp:lastModifiedBy>
  <dcterms:modified xsi:type="dcterms:W3CDTF">2024-04-25T00:57:48Z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60E3C80931FC4E4DAE0864C12D8EA47D</vt:lpwstr>
  </property>
</Properties>
</file>